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9885"/>
        <w:tblGridChange w:id="0">
          <w:tblGrid>
            <w:gridCol w:w="4515"/>
            <w:gridCol w:w="98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943100" cy="561975"/>
                  <wp:effectExtent b="0" l="0" r="0" t="0"/>
                  <wp:docPr descr="logo3.png" id="2" name="image4.png"/>
                  <a:graphic>
                    <a:graphicData uri="http://schemas.openxmlformats.org/drawingml/2006/picture">
                      <pic:pic>
                        <pic:nvPicPr>
                          <pic:cNvPr descr="logo3.png"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Tales of a BA | Season 1 | SIPOC Diagram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(full version)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Read William’s full story in the first episode: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http://erictheba.com/tofba101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42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4.4"/>
        <w:gridCol w:w="2884.4"/>
        <w:gridCol w:w="2884.4"/>
        <w:gridCol w:w="2884.4"/>
        <w:gridCol w:w="2884.4"/>
        <w:tblGridChange w:id="0">
          <w:tblGrid>
            <w:gridCol w:w="2884.4"/>
            <w:gridCol w:w="2884.4"/>
            <w:gridCol w:w="2884.4"/>
            <w:gridCol w:w="2884.4"/>
            <w:gridCol w:w="2884.4"/>
          </w:tblGrid>
        </w:tblGridChange>
      </w:tblGrid>
      <w:tr>
        <w:trPr>
          <w:trHeight w:val="420" w:hRule="atLeast"/>
        </w:trPr>
        <w:tc>
          <w:tcPr>
            <w:gridSpan w:val="5"/>
            <w:shd w:fill="1c458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Process | Access rights management</w:t>
            </w:r>
          </w:p>
        </w:tc>
      </w:tr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Suppliers</w:t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Inputs</w:t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 Main Activities</w:t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Outputs</w:t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Customers</w:t>
            </w:r>
          </w:p>
        </w:tc>
      </w:tr>
      <w:tr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Who triggers activities in the process?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What do suppliers provide to the process?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What are the main steps in the process?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What does the process provide to the customers?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Who receives the outcomes of the process?</w:t>
            </w:r>
          </w:p>
        </w:tc>
      </w:tr>
      <w:tr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ACME Security Services inc.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Rights Request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Security Report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Submit request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Approve request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Process request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Get external contribution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Confirm request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 Request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Request Status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card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 rights granted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ACME Security Services inc.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Sunny Days Real Estate Management inc.</w:t>
            </w:r>
          </w:p>
        </w:tc>
      </w:tr>
      <w:tr>
        <w:trPr>
          <w:trHeight w:val="420" w:hRule="atLeast"/>
        </w:trPr>
        <w:tc>
          <w:tcPr>
            <w:vMerge w:val="restart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 Owner</w:t>
            </w:r>
          </w:p>
        </w:tc>
        <w:tc>
          <w:tcPr>
            <w:gridSpan w:val="2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 Chain</w:t>
            </w:r>
          </w:p>
        </w:tc>
        <w:tc>
          <w:tcPr>
            <w:gridSpan w:val="2"/>
            <w:vMerge w:val="restart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 Objectives / Problems / Metrics</w:t>
            </w:r>
          </w:p>
        </w:tc>
      </w:tr>
      <w:tr>
        <w:trPr>
          <w:trHeight w:val="420" w:hRule="atLeast"/>
        </w:trPr>
        <w:tc>
          <w:tcPr>
            <w:vMerge w:val="continue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Interfaces</w:t>
            </w:r>
          </w:p>
        </w:tc>
        <w:tc>
          <w:tcPr>
            <w:gridSpan w:val="2"/>
            <w:vMerge w:val="continue"/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Who takes decisions regarding process design?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Hard dependencies with other processes</w:t>
            </w:r>
          </w:p>
        </w:tc>
        <w:tc>
          <w:tcPr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Soft dependencies with other processes</w:t>
            </w:r>
          </w:p>
        </w:tc>
        <w:tc>
          <w:tcPr>
            <w:gridSpan w:val="2"/>
            <w:tcBorders>
              <w:bottom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i w:val="1"/>
                <w:color w:val="cccccc"/>
              </w:rPr>
            </w:pPr>
            <w:r w:rsidDel="00000000" w:rsidR="00000000" w:rsidRPr="00000000">
              <w:rPr>
                <w:i w:val="1"/>
                <w:color w:val="cccccc"/>
                <w:rtl w:val="0"/>
              </w:rPr>
              <w:t xml:space="preserve">What are the expectations regarding the performance of this process?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Capital VP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Corporate Security Director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Employee Hiring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Employee Termination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Security Accreditation</w:t>
            </w:r>
          </w:p>
        </w:tc>
        <w:tc>
          <w:tcPr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Services management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 Estate management</w:t>
            </w:r>
          </w:p>
        </w:tc>
        <w:tc>
          <w:tcPr>
            <w:gridSpan w:val="2"/>
            <w:tcBorders>
              <w:top w:color="cccccc" w:space="0" w:sz="4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request must be completed in 48 business hours or less.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Requests for new employees must be completed on their fist day at work.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.0000000000002" w:top="566.9291338582677" w:left="708.6614173228347" w:right="708.66141732283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>
        <w:sz w:val="16"/>
        <w:szCs w:val="16"/>
      </w:rPr>
    </w:pPr>
    <w:r w:rsidDel="00000000" w:rsidR="00000000" w:rsidRPr="00000000">
      <w:drawing>
        <wp:inline distB="114300" distT="114300" distL="114300" distR="114300">
          <wp:extent cx="540774" cy="190500"/>
          <wp:effectExtent b="0" l="0" r="0" t="0"/>
          <wp:docPr descr="88x31.png" id="1" name="image2.png"/>
          <a:graphic>
            <a:graphicData uri="http://schemas.openxmlformats.org/drawingml/2006/picture">
              <pic:pic>
                <pic:nvPicPr>
                  <pic:cNvPr descr="88x31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774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This work is licensed under a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Creative Commons Attribution-NonCommercial-ShareAlike 4.0 International License</w:t>
      </w:r>
    </w:hyperlink>
    <w:r w:rsidDel="00000000" w:rsidR="00000000" w:rsidRPr="00000000">
      <w:rPr>
        <w:sz w:val="16"/>
        <w:szCs w:val="16"/>
        <w:rtl w:val="0"/>
      </w:rPr>
      <w:t xml:space="preserve">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yperlink" Target="http://erictheba.com/tofba101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nc-sa/4.0/" TargetMode="External"/></Relationships>
</file>